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093C6" w14:textId="77777777" w:rsidR="00800C43" w:rsidRDefault="00800C43" w:rsidP="00800C43">
      <w:pPr>
        <w:widowControl w:val="0"/>
        <w:autoSpaceDE w:val="0"/>
        <w:autoSpaceDN w:val="0"/>
        <w:adjustRightInd w:val="0"/>
        <w:jc w:val="center"/>
        <w:rPr>
          <w:rFonts w:ascii="Arial" w:hAnsi="Arial" w:cs="Arial"/>
          <w:b/>
          <w:bCs/>
          <w:color w:val="E15600"/>
          <w:sz w:val="28"/>
          <w:szCs w:val="28"/>
        </w:rPr>
      </w:pPr>
      <w:r>
        <w:rPr>
          <w:rFonts w:ascii="Arial" w:hAnsi="Arial" w:cs="Arial"/>
          <w:b/>
          <w:bCs/>
          <w:color w:val="E15600"/>
          <w:sz w:val="28"/>
          <w:szCs w:val="28"/>
        </w:rPr>
        <w:t>COMPTE RENDU D’AUTO-APPRENTISSAGE</w:t>
      </w:r>
    </w:p>
    <w:p w14:paraId="5A121049" w14:textId="77777777" w:rsidR="00800C43" w:rsidRDefault="00800C43" w:rsidP="008F60D9">
      <w:pPr>
        <w:widowControl w:val="0"/>
        <w:autoSpaceDE w:val="0"/>
        <w:autoSpaceDN w:val="0"/>
        <w:adjustRightInd w:val="0"/>
        <w:rPr>
          <w:rFonts w:ascii="Arial" w:hAnsi="Arial" w:cs="Arial"/>
          <w:b/>
          <w:bCs/>
          <w:color w:val="E15600"/>
          <w:sz w:val="28"/>
          <w:szCs w:val="28"/>
        </w:rPr>
      </w:pPr>
    </w:p>
    <w:p w14:paraId="02079604" w14:textId="77777777" w:rsidR="00800C43" w:rsidRDefault="00800C43" w:rsidP="008F60D9">
      <w:pPr>
        <w:widowControl w:val="0"/>
        <w:autoSpaceDE w:val="0"/>
        <w:autoSpaceDN w:val="0"/>
        <w:adjustRightInd w:val="0"/>
        <w:rPr>
          <w:rFonts w:ascii="Arial" w:hAnsi="Arial" w:cs="Arial"/>
          <w:b/>
          <w:bCs/>
          <w:color w:val="E15600"/>
          <w:sz w:val="28"/>
          <w:szCs w:val="28"/>
        </w:rPr>
      </w:pPr>
      <w:bookmarkStart w:id="0" w:name="_GoBack"/>
      <w:bookmarkEnd w:id="0"/>
    </w:p>
    <w:p w14:paraId="7812D497" w14:textId="77777777" w:rsidR="00800C43" w:rsidRDefault="00800C43" w:rsidP="008F60D9">
      <w:pPr>
        <w:widowControl w:val="0"/>
        <w:autoSpaceDE w:val="0"/>
        <w:autoSpaceDN w:val="0"/>
        <w:adjustRightInd w:val="0"/>
        <w:rPr>
          <w:rFonts w:ascii="Arial" w:hAnsi="Arial" w:cs="Arial"/>
          <w:b/>
          <w:bCs/>
          <w:color w:val="E15600"/>
          <w:sz w:val="28"/>
          <w:szCs w:val="28"/>
        </w:rPr>
      </w:pPr>
    </w:p>
    <w:p w14:paraId="0572AD75" w14:textId="77777777" w:rsidR="008F60D9" w:rsidRDefault="008F60D9" w:rsidP="008F60D9">
      <w:pPr>
        <w:widowControl w:val="0"/>
        <w:autoSpaceDE w:val="0"/>
        <w:autoSpaceDN w:val="0"/>
        <w:adjustRightInd w:val="0"/>
        <w:rPr>
          <w:rFonts w:ascii="Arial" w:hAnsi="Arial" w:cs="Arial"/>
          <w:sz w:val="26"/>
          <w:szCs w:val="26"/>
        </w:rPr>
      </w:pPr>
      <w:r>
        <w:rPr>
          <w:rFonts w:ascii="Arial" w:hAnsi="Arial" w:cs="Arial"/>
          <w:b/>
          <w:bCs/>
          <w:color w:val="E15600"/>
          <w:sz w:val="28"/>
          <w:szCs w:val="28"/>
        </w:rPr>
        <w:t>Objectif :</w:t>
      </w:r>
    </w:p>
    <w:p w14:paraId="1B750AA4" w14:textId="77777777" w:rsidR="008F60D9" w:rsidRDefault="008F60D9" w:rsidP="008F60D9">
      <w:pPr>
        <w:widowControl w:val="0"/>
        <w:autoSpaceDE w:val="0"/>
        <w:autoSpaceDN w:val="0"/>
        <w:adjustRightInd w:val="0"/>
        <w:rPr>
          <w:rFonts w:ascii="Arial" w:hAnsi="Arial" w:cs="Arial"/>
        </w:rPr>
      </w:pPr>
      <w:r>
        <w:rPr>
          <w:rFonts w:ascii="Arial" w:hAnsi="Arial" w:cs="Arial"/>
        </w:rPr>
        <w:t>Durant l’année, nous avons au début, tester de nombreuses sortes d’activités afin de faire notre première expérience dans l’auto-apprentissage.</w:t>
      </w:r>
    </w:p>
    <w:p w14:paraId="742604B3" w14:textId="77777777" w:rsidR="008F60D9" w:rsidRDefault="008F60D9" w:rsidP="008F60D9">
      <w:pPr>
        <w:widowControl w:val="0"/>
        <w:autoSpaceDE w:val="0"/>
        <w:autoSpaceDN w:val="0"/>
        <w:adjustRightInd w:val="0"/>
        <w:rPr>
          <w:rFonts w:ascii="Arial" w:hAnsi="Arial" w:cs="Arial"/>
        </w:rPr>
      </w:pPr>
      <w:r>
        <w:rPr>
          <w:rFonts w:ascii="Arial" w:hAnsi="Arial" w:cs="Arial"/>
        </w:rPr>
        <w:t>Nous avons tester avec différents support mais tout en restant assez classique (journaux, série TV</w:t>
      </w:r>
      <w:proofErr w:type="gramStart"/>
      <w:r>
        <w:rPr>
          <w:rFonts w:ascii="Arial" w:hAnsi="Arial" w:cs="Arial"/>
        </w:rPr>
        <w:t>..)</w:t>
      </w:r>
      <w:proofErr w:type="gramEnd"/>
    </w:p>
    <w:p w14:paraId="718F4009" w14:textId="77777777" w:rsidR="008F60D9" w:rsidRPr="008F60D9" w:rsidRDefault="008F60D9" w:rsidP="008F60D9">
      <w:pPr>
        <w:pStyle w:val="Paragraphedeliste"/>
        <w:widowControl w:val="0"/>
        <w:numPr>
          <w:ilvl w:val="0"/>
          <w:numId w:val="1"/>
        </w:numPr>
        <w:autoSpaceDE w:val="0"/>
        <w:autoSpaceDN w:val="0"/>
        <w:adjustRightInd w:val="0"/>
        <w:rPr>
          <w:rFonts w:ascii="Arial" w:hAnsi="Arial" w:cs="Arial"/>
        </w:rPr>
      </w:pPr>
      <w:r w:rsidRPr="008F60D9">
        <w:rPr>
          <w:rFonts w:ascii="Arial" w:hAnsi="Arial" w:cs="Arial"/>
        </w:rPr>
        <w:t>Nous avons remarquer alors que notre objectif principal était d’acquérir de nouveau mot de vocabulaire pour progresser en Anglais</w:t>
      </w:r>
      <w:r>
        <w:rPr>
          <w:rFonts w:ascii="Arial" w:hAnsi="Arial" w:cs="Arial"/>
        </w:rPr>
        <w:t xml:space="preserve"> et nous souhaitions que celui-ci puisse nous servir plus tard et donc qu’il soient dans le registre de ce que nous apprenons au GSI</w:t>
      </w:r>
      <w:r w:rsidRPr="008F60D9">
        <w:rPr>
          <w:rFonts w:ascii="Arial" w:hAnsi="Arial" w:cs="Arial"/>
        </w:rPr>
        <w:t>.</w:t>
      </w:r>
    </w:p>
    <w:p w14:paraId="1F988099" w14:textId="77777777" w:rsidR="008F60D9" w:rsidRPr="008F60D9" w:rsidRDefault="008F60D9" w:rsidP="008F60D9">
      <w:pPr>
        <w:pStyle w:val="Paragraphedeliste"/>
        <w:widowControl w:val="0"/>
        <w:numPr>
          <w:ilvl w:val="0"/>
          <w:numId w:val="1"/>
        </w:numPr>
        <w:autoSpaceDE w:val="0"/>
        <w:autoSpaceDN w:val="0"/>
        <w:adjustRightInd w:val="0"/>
        <w:rPr>
          <w:rFonts w:ascii="Arial" w:hAnsi="Arial" w:cs="Arial"/>
        </w:rPr>
      </w:pPr>
      <w:r w:rsidRPr="008F60D9">
        <w:rPr>
          <w:rFonts w:ascii="Arial" w:hAnsi="Arial" w:cs="Arial"/>
        </w:rPr>
        <w:t>Par ailleurs, notre but était non seulement d’apprendre de nouveau mot mais de les retenir le plus longtemps possible et non pas juste le temps de la lecture de celui-ci.</w:t>
      </w:r>
    </w:p>
    <w:p w14:paraId="388A33A4" w14:textId="77777777" w:rsidR="008F60D9" w:rsidRPr="008F60D9" w:rsidRDefault="008F60D9" w:rsidP="008F60D9">
      <w:pPr>
        <w:pStyle w:val="Paragraphedeliste"/>
        <w:widowControl w:val="0"/>
        <w:numPr>
          <w:ilvl w:val="0"/>
          <w:numId w:val="1"/>
        </w:numPr>
        <w:autoSpaceDE w:val="0"/>
        <w:autoSpaceDN w:val="0"/>
        <w:adjustRightInd w:val="0"/>
        <w:rPr>
          <w:rFonts w:ascii="Arial" w:hAnsi="Arial" w:cs="Arial"/>
        </w:rPr>
      </w:pPr>
      <w:r w:rsidRPr="008F60D9">
        <w:rPr>
          <w:rFonts w:ascii="Arial" w:hAnsi="Arial" w:cs="Arial"/>
        </w:rPr>
        <w:t>Notre but a alors été de concilier notre volonté d’apprendre de nouveau mot de vocabulaire, tout en faisant participer nos camarade et cela sous forme d’un jeu.</w:t>
      </w:r>
    </w:p>
    <w:p w14:paraId="28EBEE0D" w14:textId="77777777" w:rsidR="008F60D9" w:rsidRPr="008F60D9" w:rsidRDefault="008F60D9" w:rsidP="008F60D9">
      <w:pPr>
        <w:pStyle w:val="Paragraphedeliste"/>
        <w:widowControl w:val="0"/>
        <w:numPr>
          <w:ilvl w:val="0"/>
          <w:numId w:val="1"/>
        </w:numPr>
        <w:autoSpaceDE w:val="0"/>
        <w:autoSpaceDN w:val="0"/>
        <w:adjustRightInd w:val="0"/>
        <w:rPr>
          <w:rFonts w:ascii="Arial" w:hAnsi="Arial" w:cs="Arial"/>
        </w:rPr>
      </w:pPr>
      <w:r>
        <w:rPr>
          <w:rFonts w:ascii="Arial" w:hAnsi="Arial" w:cs="Arial"/>
        </w:rPr>
        <w:t xml:space="preserve">Pour finir, nous avons voulu que notre apprentissage puisse se faire dans un lieu conviviale ou tous et toutes </w:t>
      </w:r>
      <w:proofErr w:type="gramStart"/>
      <w:r>
        <w:rPr>
          <w:rFonts w:ascii="Arial" w:hAnsi="Arial" w:cs="Arial"/>
        </w:rPr>
        <w:t>avons</w:t>
      </w:r>
      <w:proofErr w:type="gramEnd"/>
      <w:r>
        <w:rPr>
          <w:rFonts w:ascii="Arial" w:hAnsi="Arial" w:cs="Arial"/>
        </w:rPr>
        <w:t xml:space="preserve"> envie d’aller pour que le plaisir se mêle à l’apprentissage.</w:t>
      </w:r>
    </w:p>
    <w:p w14:paraId="7E182988" w14:textId="77777777" w:rsidR="008F60D9" w:rsidRPr="008F60D9" w:rsidRDefault="008F60D9" w:rsidP="008F60D9">
      <w:pPr>
        <w:widowControl w:val="0"/>
        <w:autoSpaceDE w:val="0"/>
        <w:autoSpaceDN w:val="0"/>
        <w:adjustRightInd w:val="0"/>
        <w:rPr>
          <w:rFonts w:ascii="Arial" w:hAnsi="Arial" w:cs="Arial"/>
        </w:rPr>
      </w:pPr>
      <w:r w:rsidRPr="008F60D9">
        <w:rPr>
          <w:rFonts w:ascii="Arial" w:hAnsi="Arial" w:cs="Arial"/>
        </w:rPr>
        <w:t xml:space="preserve">Pour cela, nous avons tester plusieurs méthode jusqu’à ce que le jeu de la </w:t>
      </w:r>
      <w:proofErr w:type="spellStart"/>
      <w:r w:rsidRPr="008F60D9">
        <w:rPr>
          <w:rFonts w:ascii="Arial" w:hAnsi="Arial" w:cs="Arial"/>
        </w:rPr>
        <w:t>K’fêt</w:t>
      </w:r>
      <w:proofErr w:type="spellEnd"/>
      <w:r w:rsidRPr="008F60D9">
        <w:rPr>
          <w:rFonts w:ascii="Arial" w:hAnsi="Arial" w:cs="Arial"/>
        </w:rPr>
        <w:t xml:space="preserve"> nous vienne à l’idée lors de la séance de créativité dédiée à l’auto-apprentissage.</w:t>
      </w:r>
    </w:p>
    <w:p w14:paraId="7FFE4B2D" w14:textId="77777777" w:rsidR="008F60D9" w:rsidRDefault="008F60D9" w:rsidP="008F60D9">
      <w:pPr>
        <w:widowControl w:val="0"/>
        <w:autoSpaceDE w:val="0"/>
        <w:autoSpaceDN w:val="0"/>
        <w:adjustRightInd w:val="0"/>
        <w:rPr>
          <w:rFonts w:ascii="Arial" w:hAnsi="Arial" w:cs="Arial"/>
          <w:b/>
          <w:bCs/>
          <w:color w:val="E15600"/>
          <w:sz w:val="28"/>
          <w:szCs w:val="28"/>
        </w:rPr>
      </w:pPr>
    </w:p>
    <w:p w14:paraId="5996F874" w14:textId="77777777" w:rsidR="008F60D9" w:rsidRDefault="008F60D9" w:rsidP="008F60D9">
      <w:pPr>
        <w:widowControl w:val="0"/>
        <w:autoSpaceDE w:val="0"/>
        <w:autoSpaceDN w:val="0"/>
        <w:adjustRightInd w:val="0"/>
        <w:rPr>
          <w:rFonts w:ascii="Arial" w:hAnsi="Arial" w:cs="Arial"/>
          <w:sz w:val="26"/>
          <w:szCs w:val="26"/>
        </w:rPr>
      </w:pPr>
      <w:r>
        <w:rPr>
          <w:rFonts w:ascii="Arial" w:hAnsi="Arial" w:cs="Arial"/>
          <w:b/>
          <w:bCs/>
          <w:color w:val="E15600"/>
          <w:sz w:val="28"/>
          <w:szCs w:val="28"/>
        </w:rPr>
        <w:t>Ressource :</w:t>
      </w:r>
    </w:p>
    <w:p w14:paraId="0FC664C4" w14:textId="77777777" w:rsidR="008F60D9" w:rsidRPr="008F60D9" w:rsidRDefault="008F60D9" w:rsidP="008F60D9">
      <w:pPr>
        <w:pStyle w:val="Paragraphedeliste"/>
        <w:widowControl w:val="0"/>
        <w:numPr>
          <w:ilvl w:val="0"/>
          <w:numId w:val="2"/>
        </w:numPr>
        <w:autoSpaceDE w:val="0"/>
        <w:autoSpaceDN w:val="0"/>
        <w:adjustRightInd w:val="0"/>
        <w:rPr>
          <w:rFonts w:ascii="Arial" w:hAnsi="Arial" w:cs="Arial"/>
        </w:rPr>
      </w:pPr>
      <w:r w:rsidRPr="008F60D9">
        <w:rPr>
          <w:rFonts w:ascii="Arial" w:hAnsi="Arial" w:cs="Arial"/>
        </w:rPr>
        <w:t>Internet</w:t>
      </w:r>
    </w:p>
    <w:p w14:paraId="491478E3" w14:textId="77777777" w:rsidR="008F60D9" w:rsidRDefault="008F60D9" w:rsidP="008F60D9">
      <w:pPr>
        <w:pStyle w:val="Paragraphedeliste"/>
        <w:widowControl w:val="0"/>
        <w:numPr>
          <w:ilvl w:val="0"/>
          <w:numId w:val="2"/>
        </w:numPr>
        <w:autoSpaceDE w:val="0"/>
        <w:autoSpaceDN w:val="0"/>
        <w:adjustRightInd w:val="0"/>
        <w:rPr>
          <w:rFonts w:ascii="Arial" w:hAnsi="Arial" w:cs="Arial"/>
          <w:sz w:val="26"/>
          <w:szCs w:val="26"/>
        </w:rPr>
      </w:pPr>
      <w:r>
        <w:rPr>
          <w:rFonts w:ascii="Arial" w:hAnsi="Arial" w:cs="Arial"/>
          <w:sz w:val="26"/>
          <w:szCs w:val="26"/>
        </w:rPr>
        <w:t>Feuille</w:t>
      </w:r>
    </w:p>
    <w:p w14:paraId="316E7375" w14:textId="77777777" w:rsidR="008F60D9" w:rsidRPr="008F60D9" w:rsidRDefault="008F60D9" w:rsidP="008F60D9">
      <w:pPr>
        <w:pStyle w:val="Paragraphedeliste"/>
        <w:widowControl w:val="0"/>
        <w:numPr>
          <w:ilvl w:val="0"/>
          <w:numId w:val="2"/>
        </w:numPr>
        <w:autoSpaceDE w:val="0"/>
        <w:autoSpaceDN w:val="0"/>
        <w:adjustRightInd w:val="0"/>
        <w:rPr>
          <w:rFonts w:ascii="Arial" w:hAnsi="Arial" w:cs="Arial"/>
          <w:sz w:val="26"/>
          <w:szCs w:val="26"/>
        </w:rPr>
      </w:pPr>
      <w:proofErr w:type="spellStart"/>
      <w:r>
        <w:rPr>
          <w:rFonts w:ascii="Arial" w:hAnsi="Arial" w:cs="Arial"/>
          <w:sz w:val="26"/>
          <w:szCs w:val="26"/>
        </w:rPr>
        <w:t>K’fêt</w:t>
      </w:r>
      <w:proofErr w:type="spellEnd"/>
    </w:p>
    <w:p w14:paraId="755024EB" w14:textId="77777777" w:rsidR="008F60D9" w:rsidRDefault="008F60D9" w:rsidP="008F60D9">
      <w:pPr>
        <w:widowControl w:val="0"/>
        <w:autoSpaceDE w:val="0"/>
        <w:autoSpaceDN w:val="0"/>
        <w:adjustRightInd w:val="0"/>
        <w:rPr>
          <w:rFonts w:ascii="Arial" w:hAnsi="Arial" w:cs="Arial"/>
          <w:sz w:val="26"/>
          <w:szCs w:val="26"/>
        </w:rPr>
      </w:pPr>
    </w:p>
    <w:p w14:paraId="1EA54E46" w14:textId="77777777" w:rsidR="008F60D9" w:rsidRDefault="008F60D9" w:rsidP="008F60D9">
      <w:pPr>
        <w:widowControl w:val="0"/>
        <w:autoSpaceDE w:val="0"/>
        <w:autoSpaceDN w:val="0"/>
        <w:adjustRightInd w:val="0"/>
        <w:rPr>
          <w:rFonts w:ascii="Arial" w:hAnsi="Arial" w:cs="Arial"/>
          <w:sz w:val="26"/>
          <w:szCs w:val="26"/>
        </w:rPr>
      </w:pPr>
      <w:r>
        <w:rPr>
          <w:rFonts w:ascii="Arial" w:hAnsi="Arial" w:cs="Arial"/>
          <w:b/>
          <w:bCs/>
          <w:color w:val="E15600"/>
          <w:sz w:val="28"/>
          <w:szCs w:val="28"/>
        </w:rPr>
        <w:t>Activités :</w:t>
      </w:r>
    </w:p>
    <w:p w14:paraId="46B8937E" w14:textId="77777777" w:rsidR="008F60D9" w:rsidRDefault="008F60D9" w:rsidP="008F60D9">
      <w:pPr>
        <w:widowControl w:val="0"/>
        <w:autoSpaceDE w:val="0"/>
        <w:autoSpaceDN w:val="0"/>
        <w:adjustRightInd w:val="0"/>
        <w:rPr>
          <w:rFonts w:ascii="Arial" w:hAnsi="Arial" w:cs="Arial"/>
        </w:rPr>
      </w:pPr>
      <w:r>
        <w:rPr>
          <w:rFonts w:ascii="Arial" w:hAnsi="Arial" w:cs="Arial"/>
        </w:rPr>
        <w:t xml:space="preserve">Nous avons élaborer le jeu de la </w:t>
      </w:r>
      <w:proofErr w:type="spellStart"/>
      <w:r>
        <w:rPr>
          <w:rFonts w:ascii="Arial" w:hAnsi="Arial" w:cs="Arial"/>
        </w:rPr>
        <w:t>Kfêt</w:t>
      </w:r>
      <w:proofErr w:type="spellEnd"/>
      <w:r>
        <w:rPr>
          <w:rFonts w:ascii="Arial" w:hAnsi="Arial" w:cs="Arial"/>
        </w:rPr>
        <w:t xml:space="preserve"> : En effet, lors de l’achat d’une boisson à la </w:t>
      </w:r>
      <w:proofErr w:type="spellStart"/>
      <w:r>
        <w:rPr>
          <w:rFonts w:ascii="Arial" w:hAnsi="Arial" w:cs="Arial"/>
        </w:rPr>
        <w:t>K’fet</w:t>
      </w:r>
      <w:proofErr w:type="spellEnd"/>
      <w:r>
        <w:rPr>
          <w:rFonts w:ascii="Arial" w:hAnsi="Arial" w:cs="Arial"/>
        </w:rPr>
        <w:t xml:space="preserve">, sur chaque canette sera pré-coller un mot de vocabulaire. </w:t>
      </w:r>
    </w:p>
    <w:p w14:paraId="31FF2E3A" w14:textId="77777777" w:rsidR="008F60D9" w:rsidRDefault="008F60D9" w:rsidP="008F60D9">
      <w:pPr>
        <w:widowControl w:val="0"/>
        <w:autoSpaceDE w:val="0"/>
        <w:autoSpaceDN w:val="0"/>
        <w:adjustRightInd w:val="0"/>
        <w:rPr>
          <w:rFonts w:ascii="Arial" w:hAnsi="Arial" w:cs="Arial"/>
        </w:rPr>
      </w:pPr>
      <w:r>
        <w:rPr>
          <w:rFonts w:ascii="Arial" w:hAnsi="Arial" w:cs="Arial"/>
        </w:rPr>
        <w:t xml:space="preserve">Ainsi durant une semaine, a chaque boisson vendant l’apprenant pourra découvrir un mot. </w:t>
      </w:r>
    </w:p>
    <w:p w14:paraId="259D3EAA" w14:textId="77777777" w:rsidR="008F60D9" w:rsidRDefault="008F60D9" w:rsidP="008F60D9">
      <w:pPr>
        <w:widowControl w:val="0"/>
        <w:autoSpaceDE w:val="0"/>
        <w:autoSpaceDN w:val="0"/>
        <w:adjustRightInd w:val="0"/>
        <w:rPr>
          <w:rFonts w:ascii="Arial" w:hAnsi="Arial" w:cs="Arial"/>
        </w:rPr>
      </w:pPr>
      <w:r>
        <w:rPr>
          <w:rFonts w:ascii="Arial" w:hAnsi="Arial" w:cs="Arial"/>
        </w:rPr>
        <w:t xml:space="preserve">Toutes les semaines une dizaine de mot seront distribué sur les cannettes. Si une personne arrive à rassembler 10 étiquettes avec 10 </w:t>
      </w:r>
      <w:proofErr w:type="gramStart"/>
      <w:r>
        <w:rPr>
          <w:rFonts w:ascii="Arial" w:hAnsi="Arial" w:cs="Arial"/>
        </w:rPr>
        <w:t>mot</w:t>
      </w:r>
      <w:proofErr w:type="gramEnd"/>
      <w:r>
        <w:rPr>
          <w:rFonts w:ascii="Arial" w:hAnsi="Arial" w:cs="Arial"/>
        </w:rPr>
        <w:t xml:space="preserve"> différents, une canette lui sera offerte.</w:t>
      </w:r>
    </w:p>
    <w:p w14:paraId="1C79C033" w14:textId="77777777" w:rsidR="008F60D9" w:rsidRDefault="008F60D9" w:rsidP="008F60D9">
      <w:pPr>
        <w:widowControl w:val="0"/>
        <w:autoSpaceDE w:val="0"/>
        <w:autoSpaceDN w:val="0"/>
        <w:adjustRightInd w:val="0"/>
        <w:rPr>
          <w:rFonts w:ascii="Arial" w:hAnsi="Arial" w:cs="Arial"/>
        </w:rPr>
      </w:pPr>
      <w:r>
        <w:rPr>
          <w:rFonts w:ascii="Arial" w:hAnsi="Arial" w:cs="Arial"/>
        </w:rPr>
        <w:t>Nous avons du tester plusieurs méthodes pour que ces étiquettes puissent être collées sur les différentes boissons rapidement. La solution la plus simple et rapide était d’imprimer les mots de vocabulaire sur une feuille autocollante puis de les découper et de les coller ainsi sur les cannettes.</w:t>
      </w:r>
    </w:p>
    <w:p w14:paraId="05CF2019" w14:textId="77777777" w:rsidR="008F60D9" w:rsidRDefault="008F60D9" w:rsidP="008F60D9">
      <w:pPr>
        <w:widowControl w:val="0"/>
        <w:autoSpaceDE w:val="0"/>
        <w:autoSpaceDN w:val="0"/>
        <w:adjustRightInd w:val="0"/>
        <w:rPr>
          <w:rFonts w:ascii="Arial" w:hAnsi="Arial" w:cs="Arial"/>
        </w:rPr>
      </w:pPr>
      <w:r>
        <w:rPr>
          <w:rFonts w:ascii="Arial" w:hAnsi="Arial" w:cs="Arial"/>
        </w:rPr>
        <w:t xml:space="preserve">Par ailleurs nous avons aussi étudié comment coller le mot de vocabulaire sur la cannette pour qu’il ne passe pas inaperçu. Il faut donc le disposer de manière à ce qu’il soit transversal et ne suive pas les lignes </w:t>
      </w:r>
      <w:proofErr w:type="gramStart"/>
      <w:r>
        <w:rPr>
          <w:rFonts w:ascii="Arial" w:hAnsi="Arial" w:cs="Arial"/>
        </w:rPr>
        <w:t>des écritures déjà existante</w:t>
      </w:r>
      <w:proofErr w:type="gramEnd"/>
      <w:r>
        <w:rPr>
          <w:rFonts w:ascii="Arial" w:hAnsi="Arial" w:cs="Arial"/>
        </w:rPr>
        <w:t xml:space="preserve"> sur la cannette.</w:t>
      </w:r>
    </w:p>
    <w:p w14:paraId="760F2211" w14:textId="77777777" w:rsidR="008F60D9" w:rsidRDefault="008F60D9" w:rsidP="008F60D9">
      <w:pPr>
        <w:widowControl w:val="0"/>
        <w:autoSpaceDE w:val="0"/>
        <w:autoSpaceDN w:val="0"/>
        <w:adjustRightInd w:val="0"/>
        <w:rPr>
          <w:rFonts w:ascii="Arial" w:hAnsi="Arial" w:cs="Arial"/>
        </w:rPr>
      </w:pPr>
    </w:p>
    <w:p w14:paraId="3D9ACEDA" w14:textId="77777777" w:rsidR="008F60D9" w:rsidRDefault="008F60D9" w:rsidP="008F60D9">
      <w:pPr>
        <w:widowControl w:val="0"/>
        <w:autoSpaceDE w:val="0"/>
        <w:autoSpaceDN w:val="0"/>
        <w:adjustRightInd w:val="0"/>
        <w:rPr>
          <w:rFonts w:ascii="Arial" w:hAnsi="Arial" w:cs="Arial"/>
        </w:rPr>
      </w:pPr>
      <w:r>
        <w:rPr>
          <w:rFonts w:ascii="Arial" w:hAnsi="Arial" w:cs="Arial"/>
        </w:rPr>
        <w:t xml:space="preserve"> </w:t>
      </w:r>
    </w:p>
    <w:p w14:paraId="76FE5197" w14:textId="77777777" w:rsidR="008F60D9" w:rsidRDefault="008F60D9" w:rsidP="008F60D9">
      <w:pPr>
        <w:widowControl w:val="0"/>
        <w:autoSpaceDE w:val="0"/>
        <w:autoSpaceDN w:val="0"/>
        <w:adjustRightInd w:val="0"/>
        <w:rPr>
          <w:rFonts w:ascii="Arial" w:hAnsi="Arial" w:cs="Arial"/>
          <w:sz w:val="26"/>
          <w:szCs w:val="26"/>
        </w:rPr>
      </w:pPr>
    </w:p>
    <w:p w14:paraId="158D0A3D" w14:textId="77777777" w:rsidR="008F60D9" w:rsidRDefault="008F60D9" w:rsidP="008F60D9">
      <w:pPr>
        <w:widowControl w:val="0"/>
        <w:autoSpaceDE w:val="0"/>
        <w:autoSpaceDN w:val="0"/>
        <w:adjustRightInd w:val="0"/>
        <w:rPr>
          <w:rFonts w:ascii="Arial" w:hAnsi="Arial" w:cs="Arial"/>
          <w:sz w:val="26"/>
          <w:szCs w:val="26"/>
        </w:rPr>
      </w:pPr>
    </w:p>
    <w:p w14:paraId="5ECE8DB7" w14:textId="77777777" w:rsidR="008F60D9" w:rsidRDefault="008F60D9" w:rsidP="008F60D9">
      <w:pPr>
        <w:widowControl w:val="0"/>
        <w:autoSpaceDE w:val="0"/>
        <w:autoSpaceDN w:val="0"/>
        <w:adjustRightInd w:val="0"/>
        <w:rPr>
          <w:rFonts w:ascii="Arial" w:hAnsi="Arial" w:cs="Arial"/>
          <w:sz w:val="26"/>
          <w:szCs w:val="26"/>
        </w:rPr>
      </w:pPr>
    </w:p>
    <w:p w14:paraId="351F913A" w14:textId="77777777" w:rsidR="008F60D9" w:rsidRDefault="008F60D9" w:rsidP="008F60D9">
      <w:pPr>
        <w:widowControl w:val="0"/>
        <w:autoSpaceDE w:val="0"/>
        <w:autoSpaceDN w:val="0"/>
        <w:adjustRightInd w:val="0"/>
        <w:rPr>
          <w:rFonts w:ascii="Arial" w:hAnsi="Arial" w:cs="Arial"/>
          <w:sz w:val="26"/>
          <w:szCs w:val="26"/>
        </w:rPr>
      </w:pPr>
      <w:r>
        <w:rPr>
          <w:rFonts w:ascii="Arial" w:hAnsi="Arial" w:cs="Arial"/>
          <w:b/>
          <w:bCs/>
          <w:color w:val="E15600"/>
          <w:sz w:val="28"/>
          <w:szCs w:val="28"/>
        </w:rPr>
        <w:t>Évaluation :</w:t>
      </w:r>
    </w:p>
    <w:p w14:paraId="17133F8E" w14:textId="77777777" w:rsidR="008F60D9" w:rsidRDefault="008F60D9" w:rsidP="008F60D9">
      <w:pPr>
        <w:widowControl w:val="0"/>
        <w:autoSpaceDE w:val="0"/>
        <w:autoSpaceDN w:val="0"/>
        <w:adjustRightInd w:val="0"/>
        <w:rPr>
          <w:rFonts w:ascii="Arial" w:hAnsi="Arial" w:cs="Arial"/>
        </w:rPr>
      </w:pPr>
      <w:r>
        <w:rPr>
          <w:rFonts w:ascii="Arial" w:hAnsi="Arial" w:cs="Arial"/>
        </w:rPr>
        <w:t xml:space="preserve">Cette méthode est une idée intéressante pour plusieurs raisons : </w:t>
      </w:r>
    </w:p>
    <w:p w14:paraId="5879EA20" w14:textId="77777777" w:rsidR="008F60D9" w:rsidRPr="008F60D9" w:rsidRDefault="008F60D9" w:rsidP="008F60D9">
      <w:pPr>
        <w:pStyle w:val="Paragraphedeliste"/>
        <w:widowControl w:val="0"/>
        <w:numPr>
          <w:ilvl w:val="0"/>
          <w:numId w:val="1"/>
        </w:numPr>
        <w:autoSpaceDE w:val="0"/>
        <w:autoSpaceDN w:val="0"/>
        <w:adjustRightInd w:val="0"/>
        <w:rPr>
          <w:rFonts w:ascii="Arial" w:hAnsi="Arial" w:cs="Arial"/>
        </w:rPr>
      </w:pPr>
      <w:r w:rsidRPr="008F60D9">
        <w:rPr>
          <w:rFonts w:ascii="Arial" w:hAnsi="Arial" w:cs="Arial"/>
        </w:rPr>
        <w:t xml:space="preserve">Les personnes buvant une cannette mette un certain temps à la finir durant lequel ils sont disposés à regarder le mot  Ce temps est plus long et le visionnage est répété ce qui permet une meilleure mémorisation. </w:t>
      </w:r>
    </w:p>
    <w:p w14:paraId="5817A8A9" w14:textId="77777777" w:rsidR="008F60D9" w:rsidRDefault="008F60D9" w:rsidP="008F60D9">
      <w:pPr>
        <w:pStyle w:val="Paragraphedeliste"/>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De plus, les personnes parlent entre-elle de ce jeu vu qu’elle</w:t>
      </w:r>
      <w:r w:rsidR="00492981">
        <w:rPr>
          <w:rFonts w:ascii="Arial" w:hAnsi="Arial" w:cs="Arial"/>
          <w:sz w:val="26"/>
          <w:szCs w:val="26"/>
        </w:rPr>
        <w:t>s ont toutes la possibilité d’y participer. Ceci permet là encore de se répéter le mot et donc de me mémoriser à plus longue durer.</w:t>
      </w:r>
    </w:p>
    <w:p w14:paraId="1EAE4FD6" w14:textId="77777777" w:rsidR="00492981" w:rsidRDefault="00492981" w:rsidP="008F60D9">
      <w:pPr>
        <w:pStyle w:val="Paragraphedeliste"/>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 xml:space="preserve">Le fait qu’un gain puisse être gagné créer une </w:t>
      </w:r>
      <w:r w:rsidRPr="00492981">
        <w:rPr>
          <w:rFonts w:ascii="Arial" w:hAnsi="Arial" w:cs="Arial"/>
          <w:b/>
          <w:sz w:val="26"/>
          <w:szCs w:val="26"/>
        </w:rPr>
        <w:t xml:space="preserve">motivation </w:t>
      </w:r>
      <w:r>
        <w:rPr>
          <w:rFonts w:ascii="Arial" w:hAnsi="Arial" w:cs="Arial"/>
          <w:sz w:val="26"/>
          <w:szCs w:val="26"/>
        </w:rPr>
        <w:t xml:space="preserve">chez les élèves et les incite à garder leur mot de vocabulaire, à les « collectionner ». Ainsi là encore le visionnage est plus important que si la cannette et son mot de vocabulaire est directement jeté à la poubelle. De plus, le gain créer une motivation pour l’apprenant (et de meilleurs bénéfice à la </w:t>
      </w:r>
      <w:proofErr w:type="spellStart"/>
      <w:proofErr w:type="gramStart"/>
      <w:r>
        <w:rPr>
          <w:rFonts w:ascii="Arial" w:hAnsi="Arial" w:cs="Arial"/>
          <w:sz w:val="26"/>
          <w:szCs w:val="26"/>
        </w:rPr>
        <w:t>K’fêt</w:t>
      </w:r>
      <w:proofErr w:type="spellEnd"/>
      <w:r>
        <w:rPr>
          <w:rFonts w:ascii="Arial" w:hAnsi="Arial" w:cs="Arial"/>
          <w:sz w:val="26"/>
          <w:szCs w:val="26"/>
        </w:rPr>
        <w:t xml:space="preserve"> )</w:t>
      </w:r>
      <w:proofErr w:type="gramEnd"/>
      <w:r>
        <w:rPr>
          <w:rFonts w:ascii="Arial" w:hAnsi="Arial" w:cs="Arial"/>
          <w:sz w:val="26"/>
          <w:szCs w:val="26"/>
        </w:rPr>
        <w:t> !!</w:t>
      </w:r>
    </w:p>
    <w:p w14:paraId="2039828F" w14:textId="77777777" w:rsidR="00492981" w:rsidRDefault="00492981" w:rsidP="008F60D9">
      <w:pPr>
        <w:pStyle w:val="Paragraphedeliste"/>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Les mots de vocabulaire seront regroupés par thème. Chaque semaine des mots de vocabulaire d’un autre cours seront proposés. Ainsi, l’acquisition de nouveau mot est en correspondance avec notre apprentissage au niveau de l’école et les mots enregistrés pourront nous être utile dans notre futur métier d’ingénieur GSI.</w:t>
      </w:r>
    </w:p>
    <w:p w14:paraId="59527C2B" w14:textId="77777777" w:rsidR="00492981" w:rsidRPr="00492981" w:rsidRDefault="00492981" w:rsidP="00492981">
      <w:pPr>
        <w:pStyle w:val="Paragraphedeliste"/>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 xml:space="preserve">La </w:t>
      </w:r>
      <w:r w:rsidRPr="00492981">
        <w:rPr>
          <w:rFonts w:ascii="Arial" w:hAnsi="Arial" w:cs="Arial"/>
          <w:b/>
          <w:sz w:val="26"/>
          <w:szCs w:val="26"/>
        </w:rPr>
        <w:t>planification</w:t>
      </w:r>
      <w:r>
        <w:rPr>
          <w:rFonts w:ascii="Arial" w:hAnsi="Arial" w:cs="Arial"/>
          <w:sz w:val="26"/>
          <w:szCs w:val="26"/>
        </w:rPr>
        <w:t xml:space="preserve"> est très importante et permet de savoir où nous en sommes dans notre apprentissage.</w:t>
      </w:r>
    </w:p>
    <w:p w14:paraId="4C725DC1" w14:textId="77777777" w:rsidR="00492981" w:rsidRDefault="00492981" w:rsidP="00492981">
      <w:pPr>
        <w:ind w:left="1416" w:firstLine="708"/>
      </w:pPr>
      <w:r>
        <w:t xml:space="preserve">Exemple planning : </w:t>
      </w:r>
    </w:p>
    <w:p w14:paraId="5A8390AD" w14:textId="77777777" w:rsidR="00492981" w:rsidRDefault="00492981" w:rsidP="00492981"/>
    <w:tbl>
      <w:tblPr>
        <w:tblStyle w:val="Grille"/>
        <w:tblW w:w="0" w:type="auto"/>
        <w:tblLook w:val="04A0" w:firstRow="1" w:lastRow="0" w:firstColumn="1" w:lastColumn="0" w:noHBand="0" w:noVBand="1"/>
      </w:tblPr>
      <w:tblGrid>
        <w:gridCol w:w="4603"/>
        <w:gridCol w:w="4603"/>
      </w:tblGrid>
      <w:tr w:rsidR="00492981" w14:paraId="7164DB07" w14:textId="77777777" w:rsidTr="00492981">
        <w:tc>
          <w:tcPr>
            <w:tcW w:w="4603" w:type="dxa"/>
          </w:tcPr>
          <w:p w14:paraId="04521558" w14:textId="77777777" w:rsidR="00492981" w:rsidRDefault="00492981" w:rsidP="00492981">
            <w:r>
              <w:t>Du 17 au 23 septembre</w:t>
            </w:r>
          </w:p>
        </w:tc>
        <w:tc>
          <w:tcPr>
            <w:tcW w:w="4603" w:type="dxa"/>
          </w:tcPr>
          <w:p w14:paraId="5C0971F0" w14:textId="77777777" w:rsidR="00492981" w:rsidRDefault="00492981" w:rsidP="00492981">
            <w:r>
              <w:t>Auto-apprentissage</w:t>
            </w:r>
          </w:p>
        </w:tc>
      </w:tr>
      <w:tr w:rsidR="00492981" w14:paraId="2A79415F" w14:textId="77777777" w:rsidTr="00492981">
        <w:tc>
          <w:tcPr>
            <w:tcW w:w="4603" w:type="dxa"/>
          </w:tcPr>
          <w:p w14:paraId="45338963" w14:textId="77777777" w:rsidR="00492981" w:rsidRDefault="00492981" w:rsidP="00492981">
            <w:r>
              <w:t>Du 24 au 30 septembre</w:t>
            </w:r>
          </w:p>
        </w:tc>
        <w:tc>
          <w:tcPr>
            <w:tcW w:w="4603" w:type="dxa"/>
          </w:tcPr>
          <w:p w14:paraId="652A7FE4" w14:textId="77777777" w:rsidR="00492981" w:rsidRDefault="00492981" w:rsidP="00492981">
            <w:r>
              <w:t>Sport-Management</w:t>
            </w:r>
          </w:p>
        </w:tc>
      </w:tr>
      <w:tr w:rsidR="00492981" w14:paraId="72B90F7C" w14:textId="77777777" w:rsidTr="00492981">
        <w:tc>
          <w:tcPr>
            <w:tcW w:w="4603" w:type="dxa"/>
          </w:tcPr>
          <w:p w14:paraId="08CD9070" w14:textId="77777777" w:rsidR="00492981" w:rsidRDefault="00492981" w:rsidP="00492981">
            <w:r>
              <w:t>Du 1 au 7 octobre</w:t>
            </w:r>
          </w:p>
        </w:tc>
        <w:tc>
          <w:tcPr>
            <w:tcW w:w="4603" w:type="dxa"/>
          </w:tcPr>
          <w:p w14:paraId="512AD1A2" w14:textId="77777777" w:rsidR="00492981" w:rsidRDefault="00492981" w:rsidP="00492981">
            <w:r>
              <w:t>Projet</w:t>
            </w:r>
          </w:p>
        </w:tc>
      </w:tr>
      <w:tr w:rsidR="00492981" w14:paraId="0A8D0CAB" w14:textId="77777777" w:rsidTr="00492981">
        <w:tc>
          <w:tcPr>
            <w:tcW w:w="4603" w:type="dxa"/>
          </w:tcPr>
          <w:p w14:paraId="40940DDE" w14:textId="77777777" w:rsidR="00492981" w:rsidRDefault="00492981" w:rsidP="00492981">
            <w:r>
              <w:t xml:space="preserve">Du 8 au 14 octobre </w:t>
            </w:r>
          </w:p>
        </w:tc>
        <w:tc>
          <w:tcPr>
            <w:tcW w:w="4603" w:type="dxa"/>
          </w:tcPr>
          <w:p w14:paraId="0AE4E760" w14:textId="77777777" w:rsidR="00492981" w:rsidRDefault="00492981" w:rsidP="00492981">
            <w:r>
              <w:t>Créativité</w:t>
            </w:r>
          </w:p>
        </w:tc>
      </w:tr>
      <w:tr w:rsidR="00492981" w14:paraId="7B2DE0F9" w14:textId="77777777" w:rsidTr="00492981">
        <w:tc>
          <w:tcPr>
            <w:tcW w:w="4603" w:type="dxa"/>
          </w:tcPr>
          <w:p w14:paraId="602BB7D6" w14:textId="77777777" w:rsidR="00492981" w:rsidRDefault="00492981" w:rsidP="00492981">
            <w:r>
              <w:t>Du 15 au 21 octobre</w:t>
            </w:r>
          </w:p>
        </w:tc>
        <w:tc>
          <w:tcPr>
            <w:tcW w:w="4603" w:type="dxa"/>
          </w:tcPr>
          <w:p w14:paraId="08388408" w14:textId="77777777" w:rsidR="00492981" w:rsidRDefault="00492981" w:rsidP="00492981">
            <w:r>
              <w:t>Systémique</w:t>
            </w:r>
          </w:p>
        </w:tc>
      </w:tr>
      <w:tr w:rsidR="00492981" w14:paraId="49B66119" w14:textId="77777777" w:rsidTr="00492981">
        <w:tc>
          <w:tcPr>
            <w:tcW w:w="4603" w:type="dxa"/>
          </w:tcPr>
          <w:p w14:paraId="2A1CA7E5" w14:textId="77777777" w:rsidR="00492981" w:rsidRDefault="00492981" w:rsidP="00492981">
            <w:r>
              <w:t>Du 22 au 28 octobre</w:t>
            </w:r>
          </w:p>
        </w:tc>
        <w:tc>
          <w:tcPr>
            <w:tcW w:w="4603" w:type="dxa"/>
          </w:tcPr>
          <w:p w14:paraId="2861C459" w14:textId="77777777" w:rsidR="00492981" w:rsidRDefault="00492981" w:rsidP="00492981">
            <w:r>
              <w:t>Système d’information et Bases de données</w:t>
            </w:r>
          </w:p>
        </w:tc>
      </w:tr>
      <w:tr w:rsidR="00492981" w14:paraId="5E0AB825" w14:textId="77777777" w:rsidTr="00492981">
        <w:tc>
          <w:tcPr>
            <w:tcW w:w="4603" w:type="dxa"/>
          </w:tcPr>
          <w:p w14:paraId="74B7E2F5" w14:textId="77777777" w:rsidR="00492981" w:rsidRDefault="00492981" w:rsidP="00492981">
            <w:r>
              <w:t xml:space="preserve">Du 12 au 18 novembre </w:t>
            </w:r>
          </w:p>
        </w:tc>
        <w:tc>
          <w:tcPr>
            <w:tcW w:w="4603" w:type="dxa"/>
          </w:tcPr>
          <w:p w14:paraId="4D8AB9E7" w14:textId="77777777" w:rsidR="00492981" w:rsidRDefault="00492981" w:rsidP="00492981">
            <w:r>
              <w:t>Gestion Industrielle</w:t>
            </w:r>
          </w:p>
        </w:tc>
      </w:tr>
      <w:tr w:rsidR="00492981" w14:paraId="748FCA35" w14:textId="77777777" w:rsidTr="00492981">
        <w:tc>
          <w:tcPr>
            <w:tcW w:w="4603" w:type="dxa"/>
          </w:tcPr>
          <w:p w14:paraId="5C474C7D" w14:textId="77777777" w:rsidR="00492981" w:rsidRDefault="00492981" w:rsidP="00492981">
            <w:r>
              <w:t>Du 19 au 25 novembre</w:t>
            </w:r>
          </w:p>
        </w:tc>
        <w:tc>
          <w:tcPr>
            <w:tcW w:w="4603" w:type="dxa"/>
          </w:tcPr>
          <w:p w14:paraId="364E4A93" w14:textId="77777777" w:rsidR="00492981" w:rsidRDefault="00492981" w:rsidP="00492981">
            <w:r>
              <w:t>Gestion de projet</w:t>
            </w:r>
          </w:p>
        </w:tc>
      </w:tr>
      <w:tr w:rsidR="00492981" w14:paraId="745A7E89" w14:textId="77777777" w:rsidTr="00492981">
        <w:tc>
          <w:tcPr>
            <w:tcW w:w="4603" w:type="dxa"/>
          </w:tcPr>
          <w:p w14:paraId="4B4D472B" w14:textId="77777777" w:rsidR="00492981" w:rsidRDefault="00492981" w:rsidP="00492981">
            <w:r>
              <w:t xml:space="preserve">Du 26 au 2 </w:t>
            </w:r>
            <w:proofErr w:type="spellStart"/>
            <w:r>
              <w:t>nov</w:t>
            </w:r>
            <w:proofErr w:type="spellEnd"/>
            <w:r>
              <w:t xml:space="preserve"> - décembre</w:t>
            </w:r>
          </w:p>
        </w:tc>
        <w:tc>
          <w:tcPr>
            <w:tcW w:w="4603" w:type="dxa"/>
          </w:tcPr>
          <w:p w14:paraId="6EB01675" w14:textId="77777777" w:rsidR="00492981" w:rsidRDefault="00492981" w:rsidP="00492981">
            <w:r>
              <w:t>Transfert Thermique</w:t>
            </w:r>
          </w:p>
        </w:tc>
      </w:tr>
      <w:tr w:rsidR="00492981" w14:paraId="4D6FD2AF" w14:textId="77777777" w:rsidTr="00492981">
        <w:tc>
          <w:tcPr>
            <w:tcW w:w="4603" w:type="dxa"/>
          </w:tcPr>
          <w:p w14:paraId="4EB54DAC" w14:textId="77777777" w:rsidR="00492981" w:rsidRDefault="00492981" w:rsidP="00492981">
            <w:r>
              <w:t>Du 3 au 9 décembre</w:t>
            </w:r>
          </w:p>
        </w:tc>
        <w:tc>
          <w:tcPr>
            <w:tcW w:w="4603" w:type="dxa"/>
          </w:tcPr>
          <w:p w14:paraId="1C719BB9" w14:textId="77777777" w:rsidR="00492981" w:rsidRDefault="00492981" w:rsidP="00492981">
            <w:r>
              <w:t>Management d’équipe</w:t>
            </w:r>
          </w:p>
        </w:tc>
      </w:tr>
      <w:tr w:rsidR="00492981" w14:paraId="7DBDCC44" w14:textId="77777777" w:rsidTr="00492981">
        <w:tc>
          <w:tcPr>
            <w:tcW w:w="4603" w:type="dxa"/>
          </w:tcPr>
          <w:p w14:paraId="55F2728B" w14:textId="77777777" w:rsidR="00492981" w:rsidRDefault="00492981" w:rsidP="00492981">
            <w:r>
              <w:t>Du 10 au 16 décembre</w:t>
            </w:r>
          </w:p>
        </w:tc>
        <w:tc>
          <w:tcPr>
            <w:tcW w:w="4603" w:type="dxa"/>
          </w:tcPr>
          <w:p w14:paraId="512118B6" w14:textId="77777777" w:rsidR="00492981" w:rsidRDefault="00492981" w:rsidP="00492981">
            <w:r>
              <w:t>Analyse Fonctionnelle</w:t>
            </w:r>
          </w:p>
        </w:tc>
      </w:tr>
      <w:tr w:rsidR="00492981" w14:paraId="140DBB93" w14:textId="77777777" w:rsidTr="00492981">
        <w:tc>
          <w:tcPr>
            <w:tcW w:w="4603" w:type="dxa"/>
          </w:tcPr>
          <w:p w14:paraId="755237D9" w14:textId="77777777" w:rsidR="00492981" w:rsidRDefault="00492981" w:rsidP="00492981">
            <w:r>
              <w:t>Du 17 au 23 décembre</w:t>
            </w:r>
          </w:p>
        </w:tc>
        <w:tc>
          <w:tcPr>
            <w:tcW w:w="4603" w:type="dxa"/>
          </w:tcPr>
          <w:p w14:paraId="6E357671" w14:textId="77777777" w:rsidR="00492981" w:rsidRDefault="00492981" w:rsidP="00492981">
            <w:r>
              <w:t>AFAV</w:t>
            </w:r>
          </w:p>
        </w:tc>
      </w:tr>
      <w:tr w:rsidR="00492981" w14:paraId="1F4C800F" w14:textId="77777777" w:rsidTr="00492981">
        <w:tc>
          <w:tcPr>
            <w:tcW w:w="4603" w:type="dxa"/>
          </w:tcPr>
          <w:p w14:paraId="6DE1A6E1" w14:textId="77777777" w:rsidR="00492981" w:rsidRDefault="00492981" w:rsidP="00492981">
            <w:r>
              <w:t>Du 7 au 13 janvier</w:t>
            </w:r>
          </w:p>
        </w:tc>
        <w:tc>
          <w:tcPr>
            <w:tcW w:w="4603" w:type="dxa"/>
          </w:tcPr>
          <w:p w14:paraId="04CBF396" w14:textId="77777777" w:rsidR="00492981" w:rsidRDefault="00492981" w:rsidP="00492981">
            <w:r>
              <w:t>Statistique</w:t>
            </w:r>
          </w:p>
        </w:tc>
      </w:tr>
      <w:tr w:rsidR="00492981" w14:paraId="1E93A275" w14:textId="77777777" w:rsidTr="00492981">
        <w:tc>
          <w:tcPr>
            <w:tcW w:w="4603" w:type="dxa"/>
          </w:tcPr>
          <w:p w14:paraId="54D98CA0" w14:textId="77777777" w:rsidR="00492981" w:rsidRDefault="00492981" w:rsidP="00492981">
            <w:r>
              <w:t>Du 14 au 20 janvier</w:t>
            </w:r>
          </w:p>
        </w:tc>
        <w:tc>
          <w:tcPr>
            <w:tcW w:w="4603" w:type="dxa"/>
          </w:tcPr>
          <w:p w14:paraId="38F4B369" w14:textId="77777777" w:rsidR="00492981" w:rsidRDefault="00492981" w:rsidP="00492981">
            <w:r>
              <w:t>Résistance des matériaux</w:t>
            </w:r>
          </w:p>
        </w:tc>
      </w:tr>
      <w:tr w:rsidR="00492981" w14:paraId="662B0B52" w14:textId="77777777" w:rsidTr="00492981">
        <w:tc>
          <w:tcPr>
            <w:tcW w:w="4603" w:type="dxa"/>
          </w:tcPr>
          <w:p w14:paraId="20CC17C8" w14:textId="77777777" w:rsidR="00492981" w:rsidRDefault="00492981" w:rsidP="00492981">
            <w:r>
              <w:t>Du 21 au 27 janvier</w:t>
            </w:r>
          </w:p>
        </w:tc>
        <w:tc>
          <w:tcPr>
            <w:tcW w:w="4603" w:type="dxa"/>
          </w:tcPr>
          <w:p w14:paraId="50B90CC0" w14:textId="77777777" w:rsidR="00492981" w:rsidRDefault="00492981" w:rsidP="00492981">
            <w:r>
              <w:t>Optimisation et recherche opérationnelle</w:t>
            </w:r>
          </w:p>
        </w:tc>
      </w:tr>
      <w:tr w:rsidR="00492981" w14:paraId="0FA0E822" w14:textId="77777777" w:rsidTr="00492981">
        <w:tc>
          <w:tcPr>
            <w:tcW w:w="4603" w:type="dxa"/>
          </w:tcPr>
          <w:p w14:paraId="1C5E465F" w14:textId="77777777" w:rsidR="00492981" w:rsidRDefault="00492981" w:rsidP="00492981">
            <w:r>
              <w:t>Du 28 au 3 jan-février</w:t>
            </w:r>
          </w:p>
        </w:tc>
        <w:tc>
          <w:tcPr>
            <w:tcW w:w="4603" w:type="dxa"/>
          </w:tcPr>
          <w:p w14:paraId="67BE6E78" w14:textId="77777777" w:rsidR="00492981" w:rsidRDefault="00492981" w:rsidP="00492981">
            <w:r>
              <w:t>Economie</w:t>
            </w:r>
          </w:p>
        </w:tc>
      </w:tr>
      <w:tr w:rsidR="00492981" w14:paraId="12E8EA6E" w14:textId="77777777" w:rsidTr="00492981">
        <w:tc>
          <w:tcPr>
            <w:tcW w:w="4603" w:type="dxa"/>
          </w:tcPr>
          <w:p w14:paraId="2AF62177" w14:textId="77777777" w:rsidR="00492981" w:rsidRDefault="00492981" w:rsidP="00492981">
            <w:r>
              <w:lastRenderedPageBreak/>
              <w:t>Du 4 au 10 février</w:t>
            </w:r>
          </w:p>
        </w:tc>
        <w:tc>
          <w:tcPr>
            <w:tcW w:w="4603" w:type="dxa"/>
          </w:tcPr>
          <w:p w14:paraId="3F6EA627" w14:textId="77777777" w:rsidR="00492981" w:rsidRDefault="00492981" w:rsidP="00492981">
            <w:r>
              <w:t>Transfert et transport</w:t>
            </w:r>
          </w:p>
        </w:tc>
      </w:tr>
      <w:tr w:rsidR="00492981" w14:paraId="2087913F" w14:textId="77777777" w:rsidTr="00492981">
        <w:tc>
          <w:tcPr>
            <w:tcW w:w="4603" w:type="dxa"/>
          </w:tcPr>
          <w:p w14:paraId="0C7643A6" w14:textId="77777777" w:rsidR="00492981" w:rsidRDefault="00492981" w:rsidP="00492981">
            <w:r>
              <w:t>Du 11 au 17 février</w:t>
            </w:r>
          </w:p>
        </w:tc>
        <w:tc>
          <w:tcPr>
            <w:tcW w:w="4603" w:type="dxa"/>
          </w:tcPr>
          <w:p w14:paraId="300DE7EF" w14:textId="77777777" w:rsidR="00492981" w:rsidRDefault="00492981" w:rsidP="00492981">
            <w:r>
              <w:t>Technique Financière</w:t>
            </w:r>
          </w:p>
        </w:tc>
      </w:tr>
      <w:tr w:rsidR="00492981" w14:paraId="76477BF4" w14:textId="77777777" w:rsidTr="00492981">
        <w:tc>
          <w:tcPr>
            <w:tcW w:w="4603" w:type="dxa"/>
          </w:tcPr>
          <w:p w14:paraId="0BDBD410" w14:textId="77777777" w:rsidR="00492981" w:rsidRDefault="00492981" w:rsidP="00492981">
            <w:r>
              <w:t>Du 18 au 24 février</w:t>
            </w:r>
          </w:p>
        </w:tc>
        <w:tc>
          <w:tcPr>
            <w:tcW w:w="4603" w:type="dxa"/>
          </w:tcPr>
          <w:p w14:paraId="0B6329CE" w14:textId="77777777" w:rsidR="00492981" w:rsidRDefault="00492981" w:rsidP="00492981">
            <w:r>
              <w:t>Mécanique des fluides</w:t>
            </w:r>
          </w:p>
        </w:tc>
      </w:tr>
      <w:tr w:rsidR="00492981" w14:paraId="5E347CBC" w14:textId="77777777" w:rsidTr="00492981">
        <w:tc>
          <w:tcPr>
            <w:tcW w:w="4603" w:type="dxa"/>
          </w:tcPr>
          <w:p w14:paraId="2F6B41B8" w14:textId="77777777" w:rsidR="00492981" w:rsidRDefault="00492981" w:rsidP="00492981">
            <w:r>
              <w:t>Du 11 au 17 mars</w:t>
            </w:r>
          </w:p>
        </w:tc>
        <w:tc>
          <w:tcPr>
            <w:tcW w:w="4603" w:type="dxa"/>
          </w:tcPr>
          <w:p w14:paraId="40C4EFE8" w14:textId="77777777" w:rsidR="00492981" w:rsidRDefault="00492981" w:rsidP="00492981">
            <w:r>
              <w:t>Ethique de l’ingénieur</w:t>
            </w:r>
          </w:p>
        </w:tc>
      </w:tr>
      <w:tr w:rsidR="00492981" w14:paraId="555538A2" w14:textId="77777777" w:rsidTr="00492981">
        <w:tc>
          <w:tcPr>
            <w:tcW w:w="4603" w:type="dxa"/>
          </w:tcPr>
          <w:p w14:paraId="1EA20FE4" w14:textId="77777777" w:rsidR="00492981" w:rsidRDefault="00492981" w:rsidP="00492981">
            <w:r>
              <w:t>Du 18 au 24 mars</w:t>
            </w:r>
          </w:p>
        </w:tc>
        <w:tc>
          <w:tcPr>
            <w:tcW w:w="4603" w:type="dxa"/>
          </w:tcPr>
          <w:p w14:paraId="4A485E44" w14:textId="77777777" w:rsidR="00492981" w:rsidRDefault="00492981" w:rsidP="00492981">
            <w:r>
              <w:t>Génie des Procédés</w:t>
            </w:r>
          </w:p>
        </w:tc>
      </w:tr>
      <w:tr w:rsidR="00492981" w14:paraId="79869C36" w14:textId="77777777" w:rsidTr="00492981">
        <w:tc>
          <w:tcPr>
            <w:tcW w:w="4603" w:type="dxa"/>
          </w:tcPr>
          <w:p w14:paraId="416A8833" w14:textId="77777777" w:rsidR="00492981" w:rsidRDefault="00492981" w:rsidP="00492981">
            <w:r>
              <w:t>Du 25 au 31 mars</w:t>
            </w:r>
          </w:p>
        </w:tc>
        <w:tc>
          <w:tcPr>
            <w:tcW w:w="4603" w:type="dxa"/>
          </w:tcPr>
          <w:p w14:paraId="2EF7F534" w14:textId="77777777" w:rsidR="00492981" w:rsidRDefault="00492981" w:rsidP="00492981">
            <w:r>
              <w:t>Communication</w:t>
            </w:r>
          </w:p>
        </w:tc>
      </w:tr>
      <w:tr w:rsidR="00492981" w14:paraId="2190A660" w14:textId="77777777" w:rsidTr="00492981">
        <w:tc>
          <w:tcPr>
            <w:tcW w:w="4603" w:type="dxa"/>
          </w:tcPr>
          <w:p w14:paraId="3C23B908" w14:textId="77777777" w:rsidR="00492981" w:rsidRDefault="00492981" w:rsidP="00492981">
            <w:r>
              <w:t xml:space="preserve">Du 1 au 7 avril </w:t>
            </w:r>
          </w:p>
        </w:tc>
        <w:tc>
          <w:tcPr>
            <w:tcW w:w="4603" w:type="dxa"/>
          </w:tcPr>
          <w:p w14:paraId="417E33A9" w14:textId="77777777" w:rsidR="00492981" w:rsidRDefault="00492981" w:rsidP="00492981">
            <w:r>
              <w:t>Qualité</w:t>
            </w:r>
          </w:p>
        </w:tc>
      </w:tr>
      <w:tr w:rsidR="00492981" w14:paraId="061DAB44" w14:textId="77777777" w:rsidTr="00492981">
        <w:tc>
          <w:tcPr>
            <w:tcW w:w="4603" w:type="dxa"/>
          </w:tcPr>
          <w:p w14:paraId="454B6B65" w14:textId="77777777" w:rsidR="00492981" w:rsidRDefault="00492981" w:rsidP="00492981">
            <w:r>
              <w:t>Du 8 au 14 avril</w:t>
            </w:r>
          </w:p>
        </w:tc>
        <w:tc>
          <w:tcPr>
            <w:tcW w:w="4603" w:type="dxa"/>
          </w:tcPr>
          <w:p w14:paraId="7963D635" w14:textId="77777777" w:rsidR="00492981" w:rsidRDefault="00492981" w:rsidP="00492981">
            <w:r>
              <w:t>CAO</w:t>
            </w:r>
          </w:p>
        </w:tc>
      </w:tr>
      <w:tr w:rsidR="00492981" w14:paraId="74D8EF6B" w14:textId="77777777" w:rsidTr="00492981">
        <w:tc>
          <w:tcPr>
            <w:tcW w:w="4603" w:type="dxa"/>
          </w:tcPr>
          <w:p w14:paraId="3B3FF47E" w14:textId="77777777" w:rsidR="00492981" w:rsidRDefault="00492981" w:rsidP="00492981">
            <w:r>
              <w:t>Du 15 au 21 avril</w:t>
            </w:r>
          </w:p>
        </w:tc>
        <w:tc>
          <w:tcPr>
            <w:tcW w:w="4603" w:type="dxa"/>
          </w:tcPr>
          <w:p w14:paraId="1F9366BC" w14:textId="77777777" w:rsidR="00492981" w:rsidRDefault="00492981" w:rsidP="00492981">
            <w:r>
              <w:t>Gestion des risque</w:t>
            </w:r>
          </w:p>
        </w:tc>
      </w:tr>
      <w:tr w:rsidR="00492981" w14:paraId="22ED74EE" w14:textId="77777777" w:rsidTr="00492981">
        <w:tc>
          <w:tcPr>
            <w:tcW w:w="4603" w:type="dxa"/>
          </w:tcPr>
          <w:p w14:paraId="4165D3C2" w14:textId="77777777" w:rsidR="00492981" w:rsidRDefault="00492981" w:rsidP="00492981">
            <w:r>
              <w:t>Du 6 au 12 mai</w:t>
            </w:r>
          </w:p>
        </w:tc>
        <w:tc>
          <w:tcPr>
            <w:tcW w:w="4603" w:type="dxa"/>
          </w:tcPr>
          <w:p w14:paraId="7A7984ED" w14:textId="77777777" w:rsidR="00492981" w:rsidRDefault="00492981" w:rsidP="00492981">
            <w:r>
              <w:t>Communication non Verbale</w:t>
            </w:r>
          </w:p>
        </w:tc>
      </w:tr>
      <w:tr w:rsidR="00492981" w14:paraId="166677C4" w14:textId="77777777" w:rsidTr="00492981">
        <w:tc>
          <w:tcPr>
            <w:tcW w:w="4603" w:type="dxa"/>
          </w:tcPr>
          <w:p w14:paraId="0AAB999E" w14:textId="77777777" w:rsidR="00492981" w:rsidRDefault="00492981" w:rsidP="00492981">
            <w:r>
              <w:t>Du 13 au 19 mai</w:t>
            </w:r>
          </w:p>
        </w:tc>
        <w:tc>
          <w:tcPr>
            <w:tcW w:w="4603" w:type="dxa"/>
          </w:tcPr>
          <w:p w14:paraId="7430FCFD" w14:textId="77777777" w:rsidR="00492981" w:rsidRDefault="00492981" w:rsidP="00492981">
            <w:r>
              <w:t>Matériaux et Microstructure</w:t>
            </w:r>
          </w:p>
        </w:tc>
      </w:tr>
      <w:tr w:rsidR="00492981" w14:paraId="3F308085" w14:textId="77777777" w:rsidTr="00492981">
        <w:tc>
          <w:tcPr>
            <w:tcW w:w="4603" w:type="dxa"/>
          </w:tcPr>
          <w:p w14:paraId="740D456F" w14:textId="77777777" w:rsidR="00492981" w:rsidRDefault="00492981" w:rsidP="00492981">
            <w:r>
              <w:t>Du 20 au 26 mai</w:t>
            </w:r>
          </w:p>
        </w:tc>
        <w:tc>
          <w:tcPr>
            <w:tcW w:w="4603" w:type="dxa"/>
          </w:tcPr>
          <w:p w14:paraId="3C2DAC1C" w14:textId="77777777" w:rsidR="00492981" w:rsidRDefault="00492981" w:rsidP="00492981">
            <w:r>
              <w:t>Mécanique des milieux continus</w:t>
            </w:r>
          </w:p>
        </w:tc>
      </w:tr>
      <w:tr w:rsidR="00492981" w14:paraId="710BE761" w14:textId="77777777" w:rsidTr="00492981">
        <w:tc>
          <w:tcPr>
            <w:tcW w:w="4603" w:type="dxa"/>
          </w:tcPr>
          <w:p w14:paraId="42BF39B2" w14:textId="77777777" w:rsidR="00492981" w:rsidRDefault="00492981" w:rsidP="00492981">
            <w:r>
              <w:t>Du 27 au 2 mai-juin</w:t>
            </w:r>
          </w:p>
        </w:tc>
        <w:tc>
          <w:tcPr>
            <w:tcW w:w="4603" w:type="dxa"/>
          </w:tcPr>
          <w:p w14:paraId="3D15312A" w14:textId="77777777" w:rsidR="00492981" w:rsidRDefault="00492981" w:rsidP="00492981">
            <w:r>
              <w:t>Contrôle des systèmes à évènement discret</w:t>
            </w:r>
          </w:p>
        </w:tc>
      </w:tr>
      <w:tr w:rsidR="00492981" w14:paraId="3F89910A" w14:textId="77777777" w:rsidTr="00492981">
        <w:tc>
          <w:tcPr>
            <w:tcW w:w="4603" w:type="dxa"/>
          </w:tcPr>
          <w:p w14:paraId="70B86D3F" w14:textId="77777777" w:rsidR="00492981" w:rsidRDefault="00492981" w:rsidP="00492981">
            <w:r>
              <w:t>Du 3 au 9 juin</w:t>
            </w:r>
          </w:p>
        </w:tc>
        <w:tc>
          <w:tcPr>
            <w:tcW w:w="4603" w:type="dxa"/>
          </w:tcPr>
          <w:p w14:paraId="6E43F136" w14:textId="77777777" w:rsidR="00492981" w:rsidRDefault="00492981" w:rsidP="00492981">
            <w:r>
              <w:t>Innovation</w:t>
            </w:r>
          </w:p>
        </w:tc>
      </w:tr>
      <w:tr w:rsidR="00492981" w14:paraId="554B3810" w14:textId="77777777" w:rsidTr="00492981">
        <w:tc>
          <w:tcPr>
            <w:tcW w:w="4603" w:type="dxa"/>
          </w:tcPr>
          <w:p w14:paraId="1B8E002E" w14:textId="77777777" w:rsidR="00492981" w:rsidRDefault="00492981" w:rsidP="00492981">
            <w:r>
              <w:t>Du 10 au 16 juin</w:t>
            </w:r>
          </w:p>
        </w:tc>
        <w:tc>
          <w:tcPr>
            <w:tcW w:w="4603" w:type="dxa"/>
          </w:tcPr>
          <w:p w14:paraId="31A9AC7E" w14:textId="77777777" w:rsidR="00492981" w:rsidRDefault="00492981" w:rsidP="00492981">
            <w:r>
              <w:t>Analyse numérique et modélisation</w:t>
            </w:r>
          </w:p>
        </w:tc>
      </w:tr>
      <w:tr w:rsidR="00492981" w14:paraId="0A48DAE3" w14:textId="77777777" w:rsidTr="00492981">
        <w:tc>
          <w:tcPr>
            <w:tcW w:w="4603" w:type="dxa"/>
          </w:tcPr>
          <w:p w14:paraId="41B292EE" w14:textId="77777777" w:rsidR="00492981" w:rsidRDefault="00492981" w:rsidP="00492981">
            <w:r>
              <w:t>Du 17 au 23 juin</w:t>
            </w:r>
          </w:p>
        </w:tc>
        <w:tc>
          <w:tcPr>
            <w:tcW w:w="4603" w:type="dxa"/>
          </w:tcPr>
          <w:p w14:paraId="7ABB9B7C" w14:textId="77777777" w:rsidR="00492981" w:rsidRDefault="00492981" w:rsidP="00492981">
            <w:r>
              <w:t>Mécanique du solide</w:t>
            </w:r>
          </w:p>
        </w:tc>
      </w:tr>
      <w:tr w:rsidR="00492981" w14:paraId="5CF55B49" w14:textId="77777777" w:rsidTr="00492981">
        <w:tc>
          <w:tcPr>
            <w:tcW w:w="4603" w:type="dxa"/>
          </w:tcPr>
          <w:p w14:paraId="2801ED3D" w14:textId="77777777" w:rsidR="00492981" w:rsidRDefault="00492981" w:rsidP="00492981">
            <w:r>
              <w:t>Du 24 au 30 juin</w:t>
            </w:r>
          </w:p>
        </w:tc>
        <w:tc>
          <w:tcPr>
            <w:tcW w:w="4603" w:type="dxa"/>
          </w:tcPr>
          <w:p w14:paraId="6CF70E88" w14:textId="77777777" w:rsidR="00492981" w:rsidRDefault="00492981" w:rsidP="00492981">
            <w:r>
              <w:t>Simulation Entrepreneuriale</w:t>
            </w:r>
          </w:p>
        </w:tc>
      </w:tr>
    </w:tbl>
    <w:p w14:paraId="4BBBDE4E" w14:textId="77777777" w:rsidR="00492981" w:rsidRDefault="00492981" w:rsidP="00492981"/>
    <w:p w14:paraId="014C2790" w14:textId="77777777" w:rsidR="00492981" w:rsidRDefault="00492981" w:rsidP="00492981"/>
    <w:p w14:paraId="61966EE4" w14:textId="77777777" w:rsidR="008F60D9" w:rsidRDefault="008F60D9" w:rsidP="008F60D9">
      <w:pPr>
        <w:widowControl w:val="0"/>
        <w:autoSpaceDE w:val="0"/>
        <w:autoSpaceDN w:val="0"/>
        <w:adjustRightInd w:val="0"/>
        <w:rPr>
          <w:rFonts w:ascii="Arial" w:hAnsi="Arial" w:cs="Arial"/>
          <w:sz w:val="26"/>
          <w:szCs w:val="26"/>
        </w:rPr>
      </w:pPr>
    </w:p>
    <w:p w14:paraId="632907C7" w14:textId="77777777" w:rsidR="008F60D9" w:rsidRDefault="008F60D9" w:rsidP="008F60D9">
      <w:pPr>
        <w:widowControl w:val="0"/>
        <w:autoSpaceDE w:val="0"/>
        <w:autoSpaceDN w:val="0"/>
        <w:adjustRightInd w:val="0"/>
        <w:rPr>
          <w:rFonts w:ascii="Arial" w:hAnsi="Arial" w:cs="Arial"/>
          <w:sz w:val="26"/>
          <w:szCs w:val="26"/>
        </w:rPr>
      </w:pPr>
      <w:r>
        <w:rPr>
          <w:rFonts w:ascii="Arial" w:hAnsi="Arial" w:cs="Arial"/>
          <w:b/>
          <w:bCs/>
          <w:color w:val="E15600"/>
          <w:sz w:val="28"/>
          <w:szCs w:val="28"/>
        </w:rPr>
        <w:t>Conclusion :</w:t>
      </w:r>
    </w:p>
    <w:p w14:paraId="381C58A0" w14:textId="77777777" w:rsidR="008F60D9" w:rsidRDefault="00492981" w:rsidP="008F60D9">
      <w:pPr>
        <w:widowControl w:val="0"/>
        <w:autoSpaceDE w:val="0"/>
        <w:autoSpaceDN w:val="0"/>
        <w:adjustRightInd w:val="0"/>
        <w:rPr>
          <w:rFonts w:ascii="Arial" w:hAnsi="Arial" w:cs="Arial"/>
        </w:rPr>
      </w:pPr>
      <w:r>
        <w:rPr>
          <w:rFonts w:ascii="Arial" w:hAnsi="Arial" w:cs="Arial"/>
        </w:rPr>
        <w:t xml:space="preserve">Nous avons pris plaisir à élaborer cette méthode d’apprentissage. Nous avons, tout en nous amusant pu comprendre de quelle manière agir et compris quelle méthode était la plus adaptée à nos attentes. </w:t>
      </w:r>
    </w:p>
    <w:p w14:paraId="3280CB37" w14:textId="77777777" w:rsidR="00492981" w:rsidRDefault="00492981" w:rsidP="008F60D9">
      <w:pPr>
        <w:widowControl w:val="0"/>
        <w:autoSpaceDE w:val="0"/>
        <w:autoSpaceDN w:val="0"/>
        <w:adjustRightInd w:val="0"/>
        <w:rPr>
          <w:rFonts w:ascii="Arial" w:hAnsi="Arial" w:cs="Arial"/>
        </w:rPr>
      </w:pPr>
      <w:r>
        <w:rPr>
          <w:rFonts w:ascii="Arial" w:hAnsi="Arial" w:cs="Arial"/>
        </w:rPr>
        <w:t>Nous avons, tout en élaborant ce jeu, apprendre de nouveau mot de vocabulaire et être plus à l’aise avec l’anglais, ce qui nous a permis d’augmenter considérablement notre score au TOEIC.</w:t>
      </w:r>
    </w:p>
    <w:p w14:paraId="1200D5B3" w14:textId="77777777" w:rsidR="00800C43" w:rsidRDefault="00800C43" w:rsidP="008F60D9">
      <w:pPr>
        <w:widowControl w:val="0"/>
        <w:autoSpaceDE w:val="0"/>
        <w:autoSpaceDN w:val="0"/>
        <w:adjustRightInd w:val="0"/>
        <w:rPr>
          <w:rFonts w:ascii="Arial" w:hAnsi="Arial" w:cs="Arial"/>
          <w:sz w:val="26"/>
          <w:szCs w:val="26"/>
        </w:rPr>
      </w:pPr>
      <w:r>
        <w:rPr>
          <w:rFonts w:ascii="Arial" w:hAnsi="Arial" w:cs="Arial"/>
        </w:rPr>
        <w:t>De plus nous avons retenu deux termes essentiels à nos yeux pour apprendre seul convenablement : MOTIVATION et PLANNIFICATION. Sans ces deux notions, l’auto-apprentissage n’est pas efficace.</w:t>
      </w:r>
    </w:p>
    <w:p w14:paraId="4512E9E7" w14:textId="77777777" w:rsidR="008F60D9" w:rsidRDefault="008F60D9" w:rsidP="008F60D9">
      <w:pPr>
        <w:widowControl w:val="0"/>
        <w:autoSpaceDE w:val="0"/>
        <w:autoSpaceDN w:val="0"/>
        <w:adjustRightInd w:val="0"/>
        <w:rPr>
          <w:rFonts w:ascii="Arial" w:hAnsi="Arial" w:cs="Arial"/>
          <w:sz w:val="26"/>
          <w:szCs w:val="26"/>
        </w:rPr>
      </w:pPr>
    </w:p>
    <w:p w14:paraId="01A40D67" w14:textId="77777777" w:rsidR="00CA6F14" w:rsidRPr="008F60D9" w:rsidRDefault="008F60D9" w:rsidP="008F60D9">
      <w:r>
        <w:rPr>
          <w:rFonts w:ascii="Arial" w:hAnsi="Arial" w:cs="Arial"/>
          <w:b/>
          <w:bCs/>
          <w:color w:val="E15600"/>
          <w:sz w:val="28"/>
          <w:szCs w:val="28"/>
        </w:rPr>
        <w:t>Question :</w:t>
      </w:r>
    </w:p>
    <w:sectPr w:rsidR="00CA6F14" w:rsidRPr="008F60D9" w:rsidSect="00B66D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6000D"/>
    <w:multiLevelType w:val="hybridMultilevel"/>
    <w:tmpl w:val="D108B228"/>
    <w:lvl w:ilvl="0" w:tplc="FE6ABE7A">
      <w:numFmt w:val="bullet"/>
      <w:lvlText w:val=""/>
      <w:lvlJc w:val="left"/>
      <w:pPr>
        <w:ind w:left="1768" w:hanging="1060"/>
      </w:pPr>
      <w:rPr>
        <w:rFonts w:ascii="Wingdings" w:eastAsiaTheme="minorEastAsia" w:hAnsi="Wingdings" w:cs="Arial"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3A87110A"/>
    <w:multiLevelType w:val="hybridMultilevel"/>
    <w:tmpl w:val="B64E474E"/>
    <w:lvl w:ilvl="0" w:tplc="7126222E">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D9"/>
    <w:rsid w:val="00104EAB"/>
    <w:rsid w:val="00492981"/>
    <w:rsid w:val="00800C43"/>
    <w:rsid w:val="008F60D9"/>
    <w:rsid w:val="00B66DE4"/>
    <w:rsid w:val="00CA6F1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458F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F60D9"/>
    <w:pPr>
      <w:ind w:left="720"/>
      <w:contextualSpacing/>
    </w:pPr>
  </w:style>
  <w:style w:type="table" w:styleId="Grille">
    <w:name w:val="Table Grid"/>
    <w:basedOn w:val="TableauNormal"/>
    <w:uiPriority w:val="59"/>
    <w:rsid w:val="004929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F60D9"/>
    <w:pPr>
      <w:ind w:left="720"/>
      <w:contextualSpacing/>
    </w:pPr>
  </w:style>
  <w:style w:type="table" w:styleId="Grille">
    <w:name w:val="Table Grid"/>
    <w:basedOn w:val="TableauNormal"/>
    <w:uiPriority w:val="59"/>
    <w:rsid w:val="004929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847</Words>
  <Characters>4661</Characters>
  <Application>Microsoft Macintosh Word</Application>
  <DocSecurity>0</DocSecurity>
  <Lines>38</Lines>
  <Paragraphs>10</Paragraphs>
  <ScaleCrop>false</ScaleCrop>
  <Company>ENSGSI</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2</cp:revision>
  <dcterms:created xsi:type="dcterms:W3CDTF">2012-06-05T17:57:00Z</dcterms:created>
  <dcterms:modified xsi:type="dcterms:W3CDTF">2012-06-05T18:26:00Z</dcterms:modified>
</cp:coreProperties>
</file>